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88" w:rsidRPr="00F8355F" w:rsidRDefault="00F52888" w:rsidP="00F528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F8355F">
        <w:rPr>
          <w:rFonts w:ascii="Times New Roman" w:eastAsia="Times New Roman" w:hAnsi="Times New Roman"/>
          <w:b/>
          <w:bCs/>
          <w:color w:val="000000"/>
          <w:kern w:val="36"/>
          <w:sz w:val="40"/>
          <w:szCs w:val="40"/>
          <w:lang w:eastAsia="ru-RU"/>
        </w:rPr>
        <w:t xml:space="preserve">Повышены тарифы на отопление и </w:t>
      </w:r>
      <w:r w:rsidRPr="00F8355F">
        <w:rPr>
          <w:rFonts w:ascii="Times New Roman" w:eastAsia="Times New Roman" w:hAnsi="Times New Roman"/>
          <w:b/>
          <w:bCs/>
          <w:color w:val="00B050"/>
          <w:kern w:val="36"/>
          <w:sz w:val="40"/>
          <w:szCs w:val="40"/>
          <w:lang w:eastAsia="ru-RU"/>
        </w:rPr>
        <w:t>введена дифференцированная оплата за воду</w:t>
      </w:r>
    </w:p>
    <w:p w:rsidR="00F52888" w:rsidRDefault="00F52888" w:rsidP="00F528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Марина Носова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5" w:tgtFrame="_blank" w:history="1">
        <w:proofErr w:type="spellStart"/>
        <w:r w:rsidRPr="00F5288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БелаПАН</w:t>
        </w:r>
        <w:proofErr w:type="spellEnd"/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6" w:history="1">
        <w:r w:rsidRPr="00F5288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30.09.2011 / 13:54</w:t>
        </w:r>
      </w:hyperlink>
      <w:r w:rsidRPr="00F528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7" w:history="1">
        <w:r w:rsidRPr="00F5288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</w:p>
    <w:p w:rsidR="00F8355F" w:rsidRDefault="00F8355F" w:rsidP="00F528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35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http://naviny.by/rubrics/society/2011/09/30/ic_news_116_377461/</w:t>
      </w:r>
    </w:p>
    <w:p w:rsidR="00F52888" w:rsidRPr="00F52888" w:rsidRDefault="00F52888" w:rsidP="00F528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В Беларуси</w:t>
      </w:r>
      <w:r w:rsidRPr="00F528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повышены тарифы на техобслуживание, тепловую и электрическую энергию, а также </w:t>
      </w:r>
      <w:r w:rsidRPr="00F52888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вводится дифференцированная оплата за услуги водоснабжения и водоотведения</w:t>
      </w:r>
      <w:r w:rsidRPr="00F528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Соответствующее решение содержится в </w:t>
      </w:r>
      <w:r w:rsidRPr="00F52888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постановлении Совета Министров № 1300 от 28 сентября 2011 года</w:t>
      </w:r>
      <w:r w:rsidRPr="00F528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сообщила пресс-служба правительства.</w:t>
      </w: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Действующие тарифы на услуги по техническому обслуживанию жилых домов повышены на 3%, на тепловую энергию для нужд отопления и горячего водоснабжения — на 3,2%, на электрическую энергию — на 15%.</w:t>
      </w: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Платежи семьи из трех человек, проживающей в типовой двухкомнатной квартире, за жилищно-коммунальные услуги возрастут в отопительный период на 8,1 тыс. рублей.</w:t>
      </w: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Постановлением также предусматривается </w:t>
      </w:r>
      <w:r w:rsidRPr="00F52888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взимание платы за услуги водоснабжения, водоотведения (канализации) с граждан, проживающих в квартирах (жилых домах), оснащенных приборами индивидуального учета расхода воды, по тарифам, установленным законодательством Беларуси, в пределах объемов водопотребления на одного проживающего (зарегистрированного по месту жительства) 140 литров в сутки.</w:t>
      </w: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Плата за услуги водоснабжения, водоотведения (канализации), потребленные сверх установленного объема, взимается по установленным тарифам, обеспечивающим полное возмещение экономически обоснованных затрат на их оказание (</w:t>
      </w:r>
      <w:r w:rsidRPr="00F528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приложение 3 к постановлению Совета министров от 4 февраля 2011 года № 138</w:t>
      </w:r>
      <w:r w:rsidRPr="00F52888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).</w:t>
      </w: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отметили в пресс-службе, введению данной нормы предшествовал </w:t>
      </w:r>
      <w:r w:rsidRPr="00F52888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анализ водопотребления в Беларуси</w:t>
      </w:r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 </w:t>
      </w:r>
      <w:r w:rsidRPr="00F52888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показал, что фактическое удельное потребление воды в благоустроенном жилищном фонде, оборудованном приборами индивидуального учета расхода воды, составило в 2010 году по Минску и областным центрам 153 литра на человека в сутки, по населенным пунктам с численностью населения более 50 тыс. человек — 141 литр на человека в сутки</w:t>
      </w:r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приблизилось к показателям развитых европейских стран. В Германии, Франции, Швеции этот показатель составляет 130—140 литров на человека в сутки.</w:t>
      </w: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888" w:rsidRPr="00F52888" w:rsidRDefault="00F52888" w:rsidP="00F52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правительстве считают, что введение дифференцированной оплаты за услуги водоснабжения и водоотведения приведет к экономии этих услуг самим населением и, соответственно, снижению объемов их реализации на 6-6,5% (21—22 </w:t>
      </w:r>
      <w:proofErr w:type="spellStart"/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spellEnd"/>
      <w:r w:rsidRPr="00F5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куб. м воды), что соответствует объему потребления областного центра, такого как Могилев, Гродно, Витебск.</w:t>
      </w:r>
    </w:p>
    <w:sectPr w:rsidR="00F52888" w:rsidRPr="00F52888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4C7"/>
    <w:multiLevelType w:val="multilevel"/>
    <w:tmpl w:val="6B9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8"/>
    <w:rsid w:val="00165A68"/>
    <w:rsid w:val="009319A3"/>
    <w:rsid w:val="00E217B3"/>
    <w:rsid w:val="00EC5A6A"/>
    <w:rsid w:val="00F52888"/>
    <w:rsid w:val="00F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62A0AA-E162-4705-81A4-B450A7B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F5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F52888"/>
  </w:style>
  <w:style w:type="character" w:styleId="Hyperlink">
    <w:name w:val="Hyperlink"/>
    <w:basedOn w:val="DefaultParagraphFont"/>
    <w:uiPriority w:val="99"/>
    <w:semiHidden/>
    <w:unhideWhenUsed/>
    <w:rsid w:val="00F52888"/>
    <w:rPr>
      <w:color w:val="0000FF"/>
      <w:u w:val="single"/>
    </w:rPr>
  </w:style>
  <w:style w:type="character" w:customStyle="1" w:styleId="rubric">
    <w:name w:val="rubric"/>
    <w:basedOn w:val="DefaultParagraphFont"/>
    <w:rsid w:val="00F52888"/>
  </w:style>
  <w:style w:type="character" w:styleId="Strong">
    <w:name w:val="Strong"/>
    <w:basedOn w:val="DefaultParagraphFont"/>
    <w:uiPriority w:val="22"/>
    <w:qFormat/>
    <w:rsid w:val="00F52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tut.by/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archive/30.09.2011.html" TargetMode="External"/><Relationship Id="rId5" Type="http://schemas.openxmlformats.org/officeDocument/2006/relationships/hyperlink" Target="http://www.belapa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2603</CharactersWithSpaces>
  <SharedDoc>false</SharedDoc>
  <HLinks>
    <vt:vector size="18" baseType="variant"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2162747</vt:i4>
      </vt:variant>
      <vt:variant>
        <vt:i4>3</vt:i4>
      </vt:variant>
      <vt:variant>
        <vt:i4>0</vt:i4>
      </vt:variant>
      <vt:variant>
        <vt:i4>5</vt:i4>
      </vt:variant>
      <vt:variant>
        <vt:lpwstr>http://news.tut.by/archive/30.09.2011.html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http://www.belapan.com/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